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DE556" w14:textId="77777777" w:rsidR="00611FCC" w:rsidRDefault="00611FCC">
      <w:pPr>
        <w:jc w:val="center"/>
        <w:rPr>
          <w:rFonts w:ascii="Cambria" w:eastAsia="Cambria" w:hAnsi="Cambria" w:cs="Cambria"/>
          <w:b/>
        </w:rPr>
      </w:pPr>
    </w:p>
    <w:p w14:paraId="0213E16C" w14:textId="77777777" w:rsidR="00611FCC" w:rsidRDefault="00000000">
      <w:pPr>
        <w:tabs>
          <w:tab w:val="center" w:pos="4680"/>
          <w:tab w:val="right" w:pos="9360"/>
        </w:tabs>
        <w:jc w:val="center"/>
        <w:rPr>
          <w:rFonts w:ascii="Garamond" w:eastAsia="Garamond" w:hAnsi="Garamond" w:cs="Garamond"/>
          <w:b/>
        </w:rPr>
      </w:pPr>
      <w:r>
        <w:rPr>
          <w:rFonts w:ascii="Garamond" w:eastAsia="Garamond" w:hAnsi="Garamond" w:cs="Garamond"/>
          <w:b/>
          <w:sz w:val="28"/>
          <w:szCs w:val="28"/>
        </w:rPr>
        <w:t>The Title Contains 20 Words Maximum with Garamond Font 14-Point in Bold with Capitalization of Each Word</w:t>
      </w:r>
    </w:p>
    <w:p w14:paraId="4FBBA328" w14:textId="77777777" w:rsidR="00611FCC" w:rsidRDefault="00611FCC">
      <w:pPr>
        <w:tabs>
          <w:tab w:val="center" w:pos="4680"/>
          <w:tab w:val="right" w:pos="9360"/>
        </w:tabs>
        <w:jc w:val="center"/>
        <w:rPr>
          <w:rFonts w:ascii="Garamond" w:eastAsia="Garamond" w:hAnsi="Garamond" w:cs="Garamond"/>
        </w:rPr>
      </w:pPr>
    </w:p>
    <w:p w14:paraId="6C6F14D7" w14:textId="77777777" w:rsidR="00611FCC" w:rsidRDefault="00000000">
      <w:pPr>
        <w:tabs>
          <w:tab w:val="center" w:pos="4680"/>
          <w:tab w:val="right" w:pos="9360"/>
        </w:tabs>
        <w:jc w:val="center"/>
        <w:rPr>
          <w:rFonts w:ascii="Garamond" w:eastAsia="Garamond" w:hAnsi="Garamond" w:cs="Garamond"/>
          <w:b/>
        </w:rPr>
      </w:pPr>
      <w:r>
        <w:rPr>
          <w:rFonts w:ascii="Garamond" w:eastAsia="Garamond" w:hAnsi="Garamond" w:cs="Garamond"/>
          <w:b/>
        </w:rPr>
        <w:t>Author</w:t>
      </w:r>
      <w:r>
        <w:rPr>
          <w:rFonts w:ascii="Garamond" w:eastAsia="Garamond" w:hAnsi="Garamond" w:cs="Garamond"/>
          <w:b/>
          <w:vertAlign w:val="superscript"/>
        </w:rPr>
        <w:t>1</w:t>
      </w:r>
      <w:r>
        <w:rPr>
          <w:rFonts w:ascii="Garamond" w:eastAsia="Garamond" w:hAnsi="Garamond" w:cs="Garamond"/>
          <w:b/>
        </w:rPr>
        <w:t>, Author</w:t>
      </w:r>
      <w:r>
        <w:rPr>
          <w:rFonts w:ascii="Garamond" w:eastAsia="Garamond" w:hAnsi="Garamond" w:cs="Garamond"/>
          <w:b/>
          <w:vertAlign w:val="superscript"/>
        </w:rPr>
        <w:t>2</w:t>
      </w:r>
      <w:r>
        <w:rPr>
          <w:rFonts w:ascii="Garamond" w:eastAsia="Garamond" w:hAnsi="Garamond" w:cs="Garamond"/>
          <w:b/>
        </w:rPr>
        <w:t>, Author</w:t>
      </w:r>
      <w:r>
        <w:rPr>
          <w:rFonts w:ascii="Garamond" w:eastAsia="Garamond" w:hAnsi="Garamond" w:cs="Garamond"/>
          <w:b/>
          <w:vertAlign w:val="superscript"/>
        </w:rPr>
        <w:t>3</w:t>
      </w:r>
      <w:r>
        <w:rPr>
          <w:rFonts w:ascii="Garamond" w:eastAsia="Garamond" w:hAnsi="Garamond" w:cs="Garamond"/>
          <w:b/>
        </w:rPr>
        <w:t>, etc.</w:t>
      </w:r>
    </w:p>
    <w:p w14:paraId="7C7F6EBE" w14:textId="77777777" w:rsidR="00611FCC" w:rsidRDefault="00000000">
      <w:pPr>
        <w:tabs>
          <w:tab w:val="center" w:pos="4680"/>
          <w:tab w:val="right" w:pos="9360"/>
        </w:tabs>
        <w:jc w:val="center"/>
        <w:rPr>
          <w:rFonts w:ascii="Garamond" w:eastAsia="Garamond" w:hAnsi="Garamond" w:cs="Garamond"/>
          <w:i/>
          <w:sz w:val="20"/>
          <w:szCs w:val="20"/>
        </w:rPr>
      </w:pPr>
      <w:r>
        <w:rPr>
          <w:rFonts w:ascii="Garamond" w:eastAsia="Garamond" w:hAnsi="Garamond" w:cs="Garamond"/>
          <w:i/>
          <w:sz w:val="20"/>
          <w:szCs w:val="20"/>
          <w:vertAlign w:val="superscript"/>
        </w:rPr>
        <w:t>1</w:t>
      </w:r>
      <w:r>
        <w:rPr>
          <w:rFonts w:ascii="Garamond" w:eastAsia="Garamond" w:hAnsi="Garamond" w:cs="Garamond"/>
          <w:i/>
          <w:sz w:val="20"/>
          <w:szCs w:val="20"/>
        </w:rPr>
        <w:t xml:space="preserve">Department, Institution, Country, </w:t>
      </w:r>
      <w:r>
        <w:rPr>
          <w:rFonts w:ascii="Garamond" w:eastAsia="Garamond" w:hAnsi="Garamond" w:cs="Garamond"/>
          <w:i/>
          <w:sz w:val="20"/>
          <w:szCs w:val="20"/>
          <w:vertAlign w:val="superscript"/>
        </w:rPr>
        <w:t>2</w:t>
      </w:r>
      <w:r>
        <w:rPr>
          <w:rFonts w:ascii="Garamond" w:eastAsia="Garamond" w:hAnsi="Garamond" w:cs="Garamond"/>
          <w:i/>
          <w:sz w:val="20"/>
          <w:szCs w:val="20"/>
        </w:rPr>
        <w:t>Department, Institution, Country</w:t>
      </w:r>
    </w:p>
    <w:p w14:paraId="3FC86BEE" w14:textId="77777777" w:rsidR="00611FCC" w:rsidRDefault="00000000">
      <w:pPr>
        <w:tabs>
          <w:tab w:val="center" w:pos="4680"/>
          <w:tab w:val="right" w:pos="9360"/>
        </w:tabs>
        <w:jc w:val="center"/>
        <w:rPr>
          <w:rFonts w:ascii="Garamond" w:eastAsia="Garamond" w:hAnsi="Garamond" w:cs="Garamond"/>
          <w:i/>
          <w:sz w:val="20"/>
          <w:szCs w:val="20"/>
        </w:rPr>
      </w:pPr>
      <w:r>
        <w:rPr>
          <w:rFonts w:ascii="Garamond" w:eastAsia="Garamond" w:hAnsi="Garamond" w:cs="Garamond"/>
          <w:i/>
          <w:sz w:val="20"/>
          <w:szCs w:val="20"/>
        </w:rPr>
        <w:t>*) correspondence: email address</w:t>
      </w:r>
    </w:p>
    <w:p w14:paraId="06E15B83" w14:textId="77777777" w:rsidR="00611FCC" w:rsidRDefault="00611FCC">
      <w:pPr>
        <w:tabs>
          <w:tab w:val="center" w:pos="4680"/>
          <w:tab w:val="right" w:pos="9360"/>
        </w:tabs>
        <w:jc w:val="center"/>
        <w:rPr>
          <w:rFonts w:ascii="Garamond" w:eastAsia="Garamond" w:hAnsi="Garamond" w:cs="Garamond"/>
          <w:i/>
          <w:sz w:val="20"/>
          <w:szCs w:val="20"/>
        </w:rPr>
      </w:pPr>
    </w:p>
    <w:p w14:paraId="0E806019" w14:textId="77777777" w:rsidR="00611FCC" w:rsidRDefault="00000000">
      <w:pPr>
        <w:tabs>
          <w:tab w:val="center" w:pos="4680"/>
          <w:tab w:val="right" w:pos="9360"/>
        </w:tabs>
        <w:jc w:val="center"/>
        <w:rPr>
          <w:rFonts w:ascii="Garamond" w:eastAsia="Garamond" w:hAnsi="Garamond" w:cs="Garamond"/>
          <w:b/>
        </w:rPr>
      </w:pPr>
      <w:r>
        <w:rPr>
          <w:rFonts w:ascii="Garamond" w:eastAsia="Garamond" w:hAnsi="Garamond" w:cs="Garamond"/>
          <w:b/>
        </w:rPr>
        <w:t>ABSTRACT</w:t>
      </w:r>
    </w:p>
    <w:p w14:paraId="6DF358B3" w14:textId="77777777" w:rsidR="00611FCC" w:rsidRDefault="00000000">
      <w:pPr>
        <w:tabs>
          <w:tab w:val="center" w:pos="4680"/>
        </w:tabs>
        <w:ind w:left="567" w:right="566"/>
        <w:jc w:val="both"/>
        <w:rPr>
          <w:rFonts w:ascii="Garamond" w:eastAsia="Garamond" w:hAnsi="Garamond" w:cs="Garamond"/>
          <w:sz w:val="22"/>
          <w:szCs w:val="22"/>
        </w:rPr>
      </w:pPr>
      <w:r>
        <w:rPr>
          <w:rFonts w:ascii="Garamond" w:eastAsia="Garamond" w:hAnsi="Garamond" w:cs="Garamond"/>
          <w:sz w:val="22"/>
          <w:szCs w:val="22"/>
        </w:rPr>
        <w:t>The abstract should be clear, concise, and descriptive. This abstract should provide a brief introduction to the problem, objective of paper, followed by a statement regarding the methodology and a brief summary of results. Abstracts are written in 11-point Garamond font and preferably not more than 250 words. 1space.</w:t>
      </w:r>
    </w:p>
    <w:p w14:paraId="2B9EBF05" w14:textId="77777777" w:rsidR="00611FCC" w:rsidRDefault="00000000">
      <w:pPr>
        <w:tabs>
          <w:tab w:val="center" w:pos="4680"/>
        </w:tabs>
        <w:ind w:left="567" w:right="566"/>
        <w:jc w:val="both"/>
        <w:rPr>
          <w:rFonts w:ascii="Garamond" w:eastAsia="Garamond" w:hAnsi="Garamond" w:cs="Garamond"/>
          <w:sz w:val="22"/>
          <w:szCs w:val="22"/>
        </w:rPr>
      </w:pPr>
      <w:r>
        <w:rPr>
          <w:rFonts w:ascii="Garamond" w:eastAsia="Garamond" w:hAnsi="Garamond" w:cs="Garamond"/>
          <w:b/>
          <w:sz w:val="22"/>
          <w:szCs w:val="22"/>
        </w:rPr>
        <w:t>Keywords</w:t>
      </w:r>
      <w:r>
        <w:rPr>
          <w:rFonts w:ascii="Garamond" w:eastAsia="Garamond" w:hAnsi="Garamond" w:cs="Garamond"/>
          <w:sz w:val="22"/>
          <w:szCs w:val="22"/>
        </w:rPr>
        <w:t>: maximum 6 keywords should be written here, separated with semicolon (;)</w:t>
      </w:r>
    </w:p>
    <w:p w14:paraId="0412DD31" w14:textId="77777777" w:rsidR="00611FCC" w:rsidRDefault="00611FCC">
      <w:pPr>
        <w:tabs>
          <w:tab w:val="center" w:pos="4680"/>
          <w:tab w:val="right" w:pos="9360"/>
        </w:tabs>
        <w:jc w:val="both"/>
        <w:rPr>
          <w:rFonts w:ascii="Garamond" w:eastAsia="Garamond" w:hAnsi="Garamond" w:cs="Garamond"/>
        </w:rPr>
      </w:pPr>
    </w:p>
    <w:p w14:paraId="62BC4105" w14:textId="77777777" w:rsidR="00611FCC" w:rsidRDefault="00000000">
      <w:pPr>
        <w:tabs>
          <w:tab w:val="center" w:pos="4680"/>
          <w:tab w:val="right" w:pos="9360"/>
        </w:tabs>
        <w:jc w:val="both"/>
        <w:rPr>
          <w:rFonts w:ascii="Garamond" w:eastAsia="Garamond" w:hAnsi="Garamond" w:cs="Garamond"/>
          <w:b/>
        </w:rPr>
      </w:pPr>
      <w:r>
        <w:rPr>
          <w:rFonts w:ascii="Garamond" w:eastAsia="Garamond" w:hAnsi="Garamond" w:cs="Garamond"/>
          <w:b/>
        </w:rPr>
        <w:t>INTRODUCTION</w:t>
      </w:r>
    </w:p>
    <w:p w14:paraId="6B173AB3" w14:textId="77777777" w:rsidR="00611FCC" w:rsidRDefault="00000000">
      <w:pPr>
        <w:tabs>
          <w:tab w:val="center" w:pos="4680"/>
          <w:tab w:val="right" w:pos="9360"/>
        </w:tabs>
        <w:jc w:val="both"/>
        <w:rPr>
          <w:rFonts w:ascii="Garamond" w:eastAsia="Garamond" w:hAnsi="Garamond" w:cs="Garamond"/>
        </w:rPr>
      </w:pPr>
      <w:r>
        <w:rPr>
          <w:rFonts w:ascii="Garamond" w:eastAsia="Garamond" w:hAnsi="Garamond" w:cs="Garamond"/>
        </w:rPr>
        <w:t>In introduction, authors should state the objectives of the work at the end of the introduction section (Meyer, 2021). Before the objective, authors should provide an adequate background, and very short literature survey in order to record the existing solutions/method, to show which is the best of previous studies, to show the main limitation of the previous studies, to show what do you hope to achieve (to solve the limitation), and to show the scientific merit or novelties of the paper. Avoid a detailed literature survey or a summary of the results.</w:t>
      </w:r>
    </w:p>
    <w:p w14:paraId="7533D5B7" w14:textId="77777777" w:rsidR="00611FCC" w:rsidRDefault="00611FCC">
      <w:pPr>
        <w:tabs>
          <w:tab w:val="center" w:pos="4680"/>
          <w:tab w:val="right" w:pos="9360"/>
        </w:tabs>
        <w:jc w:val="both"/>
        <w:rPr>
          <w:rFonts w:ascii="Garamond" w:eastAsia="Garamond" w:hAnsi="Garamond" w:cs="Garamond"/>
        </w:rPr>
      </w:pPr>
    </w:p>
    <w:p w14:paraId="609AD4E0" w14:textId="77777777" w:rsidR="00611FCC" w:rsidRDefault="00000000">
      <w:pPr>
        <w:tabs>
          <w:tab w:val="center" w:pos="4680"/>
          <w:tab w:val="right" w:pos="9360"/>
        </w:tabs>
        <w:jc w:val="both"/>
        <w:rPr>
          <w:rFonts w:ascii="Garamond" w:eastAsia="Garamond" w:hAnsi="Garamond" w:cs="Garamond"/>
          <w:b/>
        </w:rPr>
      </w:pPr>
      <w:r>
        <w:rPr>
          <w:rFonts w:ascii="Garamond" w:eastAsia="Garamond" w:hAnsi="Garamond" w:cs="Garamond"/>
          <w:b/>
        </w:rPr>
        <w:t>METHODS</w:t>
      </w:r>
    </w:p>
    <w:p w14:paraId="2EE577E8" w14:textId="77777777" w:rsidR="00611FCC" w:rsidRDefault="00000000">
      <w:pPr>
        <w:tabs>
          <w:tab w:val="center" w:pos="4680"/>
          <w:tab w:val="right" w:pos="9360"/>
        </w:tabs>
        <w:jc w:val="both"/>
        <w:rPr>
          <w:rFonts w:ascii="Garamond" w:eastAsia="Garamond" w:hAnsi="Garamond" w:cs="Garamond"/>
        </w:rPr>
      </w:pPr>
      <w:r>
        <w:rPr>
          <w:rFonts w:ascii="Garamond" w:eastAsia="Garamond" w:hAnsi="Garamond" w:cs="Garamond"/>
        </w:rPr>
        <w:t>This material and method as much as possible to give an idea to the reader through the methods used (Sa’aati, 2003) (references on this template is just an example). Sub-subhead on this method comprising at least on research design; research participants; data sources/instruments; data collection; and data analysis.</w:t>
      </w:r>
    </w:p>
    <w:p w14:paraId="3435D3A7" w14:textId="77777777" w:rsidR="00611FCC" w:rsidRDefault="00611FCC">
      <w:pPr>
        <w:tabs>
          <w:tab w:val="center" w:pos="4680"/>
          <w:tab w:val="right" w:pos="9360"/>
        </w:tabs>
        <w:jc w:val="both"/>
        <w:rPr>
          <w:rFonts w:ascii="Garamond" w:eastAsia="Garamond" w:hAnsi="Garamond" w:cs="Garamond"/>
        </w:rPr>
      </w:pPr>
    </w:p>
    <w:p w14:paraId="10057561" w14:textId="77777777" w:rsidR="00611FCC" w:rsidRDefault="00000000">
      <w:pPr>
        <w:tabs>
          <w:tab w:val="center" w:pos="4680"/>
          <w:tab w:val="right" w:pos="9360"/>
        </w:tabs>
        <w:jc w:val="both"/>
        <w:rPr>
          <w:rFonts w:ascii="Garamond" w:eastAsia="Garamond" w:hAnsi="Garamond" w:cs="Garamond"/>
          <w:b/>
        </w:rPr>
      </w:pPr>
      <w:r>
        <w:rPr>
          <w:rFonts w:ascii="Garamond" w:eastAsia="Garamond" w:hAnsi="Garamond" w:cs="Garamond"/>
          <w:b/>
        </w:rPr>
        <w:t>RESULTS AND DISCUSSION</w:t>
      </w:r>
    </w:p>
    <w:p w14:paraId="3C74B732" w14:textId="77777777" w:rsidR="00611FCC" w:rsidRDefault="00000000">
      <w:pPr>
        <w:tabs>
          <w:tab w:val="center" w:pos="4680"/>
          <w:tab w:val="right" w:pos="9360"/>
        </w:tabs>
        <w:jc w:val="both"/>
        <w:rPr>
          <w:rFonts w:ascii="Garamond" w:eastAsia="Garamond" w:hAnsi="Garamond" w:cs="Garamond"/>
        </w:rPr>
      </w:pPr>
      <w:r>
        <w:rPr>
          <w:rFonts w:ascii="Garamond" w:eastAsia="Garamond" w:hAnsi="Garamond" w:cs="Garamond"/>
        </w:rPr>
        <w:t>Results should be clear and concise. The results should summarize (scientific) findings rather than providing data in great detail (Ahmadjayadi, 2023). Please highlight differences between your results or findings and the previous publications by other researchers. Tables and Figures are presented center, as shown below and cited in the manuscript.</w:t>
      </w:r>
    </w:p>
    <w:p w14:paraId="64A4D267" w14:textId="77777777" w:rsidR="00611FCC" w:rsidRDefault="00611FCC">
      <w:pPr>
        <w:tabs>
          <w:tab w:val="center" w:pos="4680"/>
          <w:tab w:val="right" w:pos="9360"/>
        </w:tabs>
        <w:jc w:val="both"/>
        <w:rPr>
          <w:rFonts w:ascii="Garamond" w:eastAsia="Garamond" w:hAnsi="Garamond" w:cs="Garamond"/>
        </w:rPr>
      </w:pPr>
    </w:p>
    <w:p w14:paraId="2228A012" w14:textId="77777777" w:rsidR="00611FCC" w:rsidRDefault="00000000">
      <w:pPr>
        <w:tabs>
          <w:tab w:val="center" w:pos="4680"/>
          <w:tab w:val="right" w:pos="9360"/>
        </w:tabs>
        <w:jc w:val="center"/>
        <w:rPr>
          <w:rFonts w:ascii="Garamond" w:eastAsia="Garamond" w:hAnsi="Garamond" w:cs="Garamond"/>
          <w:sz w:val="22"/>
          <w:szCs w:val="22"/>
        </w:rPr>
      </w:pPr>
      <w:r>
        <w:rPr>
          <w:rFonts w:ascii="Garamond" w:eastAsia="Garamond" w:hAnsi="Garamond" w:cs="Garamond"/>
          <w:b/>
          <w:sz w:val="22"/>
          <w:szCs w:val="22"/>
        </w:rPr>
        <w:t>TABLE 1</w:t>
      </w:r>
      <w:r>
        <w:rPr>
          <w:rFonts w:ascii="Garamond" w:eastAsia="Garamond" w:hAnsi="Garamond" w:cs="Garamond"/>
          <w:sz w:val="22"/>
          <w:szCs w:val="22"/>
        </w:rPr>
        <w:t>. Labor Regulations Subjects</w:t>
      </w:r>
    </w:p>
    <w:tbl>
      <w:tblPr>
        <w:tblStyle w:val="a0"/>
        <w:tblW w:w="7654" w:type="dxa"/>
        <w:tblInd w:w="1101" w:type="dxa"/>
        <w:tblBorders>
          <w:top w:val="nil"/>
          <w:left w:val="nil"/>
          <w:bottom w:val="nil"/>
          <w:right w:val="nil"/>
          <w:insideH w:val="nil"/>
          <w:insideV w:val="nil"/>
        </w:tblBorders>
        <w:tblLayout w:type="fixed"/>
        <w:tblLook w:val="0400" w:firstRow="0" w:lastRow="0" w:firstColumn="0" w:lastColumn="0" w:noHBand="0" w:noVBand="1"/>
      </w:tblPr>
      <w:tblGrid>
        <w:gridCol w:w="1668"/>
        <w:gridCol w:w="2080"/>
        <w:gridCol w:w="1809"/>
        <w:gridCol w:w="2097"/>
      </w:tblGrid>
      <w:tr w:rsidR="00611FCC" w14:paraId="7E3E51FA" w14:textId="77777777">
        <w:tc>
          <w:tcPr>
            <w:tcW w:w="1668" w:type="dxa"/>
            <w:tcBorders>
              <w:top w:val="single" w:sz="4" w:space="0" w:color="000000"/>
              <w:bottom w:val="single" w:sz="4" w:space="0" w:color="000000"/>
            </w:tcBorders>
            <w:vAlign w:val="center"/>
          </w:tcPr>
          <w:p w14:paraId="0B91A68A"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Labor agreement</w:t>
            </w:r>
          </w:p>
        </w:tc>
        <w:tc>
          <w:tcPr>
            <w:tcW w:w="2080" w:type="dxa"/>
            <w:tcBorders>
              <w:top w:val="single" w:sz="4" w:space="0" w:color="000000"/>
              <w:bottom w:val="single" w:sz="4" w:space="0" w:color="000000"/>
            </w:tcBorders>
            <w:vAlign w:val="center"/>
          </w:tcPr>
          <w:p w14:paraId="6DAEA0FF"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Labor relationship</w:t>
            </w:r>
          </w:p>
        </w:tc>
        <w:tc>
          <w:tcPr>
            <w:tcW w:w="1809" w:type="dxa"/>
            <w:tcBorders>
              <w:top w:val="single" w:sz="4" w:space="0" w:color="000000"/>
              <w:bottom w:val="single" w:sz="4" w:space="0" w:color="000000"/>
            </w:tcBorders>
            <w:vAlign w:val="center"/>
          </w:tcPr>
          <w:p w14:paraId="5F633E90"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Industrial relationship</w:t>
            </w:r>
          </w:p>
        </w:tc>
        <w:tc>
          <w:tcPr>
            <w:tcW w:w="2097" w:type="dxa"/>
            <w:tcBorders>
              <w:top w:val="single" w:sz="4" w:space="0" w:color="000000"/>
              <w:bottom w:val="single" w:sz="4" w:space="0" w:color="000000"/>
            </w:tcBorders>
            <w:vAlign w:val="center"/>
          </w:tcPr>
          <w:p w14:paraId="7D63F1C0"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Industrial relation ofdispute (Article1/15Act13/2003jo.</w:t>
            </w:r>
          </w:p>
        </w:tc>
      </w:tr>
      <w:tr w:rsidR="00611FCC" w14:paraId="3B2E8A21" w14:textId="77777777">
        <w:tc>
          <w:tcPr>
            <w:tcW w:w="1668" w:type="dxa"/>
            <w:tcBorders>
              <w:top w:val="single" w:sz="4" w:space="0" w:color="000000"/>
            </w:tcBorders>
            <w:vAlign w:val="center"/>
          </w:tcPr>
          <w:p w14:paraId="37DBCE25"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(Article 1/14 Act 13/2003)</w:t>
            </w:r>
          </w:p>
        </w:tc>
        <w:tc>
          <w:tcPr>
            <w:tcW w:w="2080" w:type="dxa"/>
            <w:tcBorders>
              <w:top w:val="single" w:sz="4" w:space="0" w:color="000000"/>
            </w:tcBorders>
            <w:vAlign w:val="center"/>
          </w:tcPr>
          <w:p w14:paraId="068031B2"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(Article 1/15 Act 13/2003)</w:t>
            </w:r>
          </w:p>
        </w:tc>
        <w:tc>
          <w:tcPr>
            <w:tcW w:w="1809" w:type="dxa"/>
            <w:tcBorders>
              <w:top w:val="single" w:sz="4" w:space="0" w:color="000000"/>
            </w:tcBorders>
            <w:vAlign w:val="center"/>
          </w:tcPr>
          <w:p w14:paraId="7EFF1B61"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(Article 1/15 Act 13/2003)</w:t>
            </w:r>
          </w:p>
        </w:tc>
        <w:tc>
          <w:tcPr>
            <w:tcW w:w="2097" w:type="dxa"/>
            <w:tcBorders>
              <w:top w:val="single" w:sz="4" w:space="0" w:color="000000"/>
            </w:tcBorders>
            <w:vAlign w:val="center"/>
          </w:tcPr>
          <w:p w14:paraId="1BCA4E67" w14:textId="77777777" w:rsidR="00611FCC" w:rsidRDefault="00000000">
            <w:pPr>
              <w:tabs>
                <w:tab w:val="center" w:pos="4680"/>
                <w:tab w:val="right" w:pos="9360"/>
              </w:tabs>
              <w:jc w:val="center"/>
              <w:rPr>
                <w:rFonts w:ascii="Garamond" w:eastAsia="Garamond" w:hAnsi="Garamond" w:cs="Garamond"/>
                <w:sz w:val="20"/>
                <w:szCs w:val="20"/>
              </w:rPr>
            </w:pPr>
            <w:r>
              <w:rPr>
                <w:rFonts w:ascii="Garamond" w:eastAsia="Garamond" w:hAnsi="Garamond" w:cs="Garamond"/>
                <w:sz w:val="18"/>
                <w:szCs w:val="18"/>
              </w:rPr>
              <w:t>Article 56 Act No. 2/2004)</w:t>
            </w:r>
          </w:p>
        </w:tc>
      </w:tr>
      <w:tr w:rsidR="00611FCC" w14:paraId="24B0297E" w14:textId="77777777">
        <w:tc>
          <w:tcPr>
            <w:tcW w:w="1668" w:type="dxa"/>
          </w:tcPr>
          <w:p w14:paraId="0375DD1F"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1. 1.</w:t>
            </w:r>
          </w:p>
        </w:tc>
        <w:tc>
          <w:tcPr>
            <w:tcW w:w="2080" w:type="dxa"/>
          </w:tcPr>
          <w:p w14:paraId="5BB0AC87"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1. 1.</w:t>
            </w:r>
          </w:p>
        </w:tc>
        <w:tc>
          <w:tcPr>
            <w:tcW w:w="1809" w:type="dxa"/>
          </w:tcPr>
          <w:p w14:paraId="23D78EB6"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1. 1.</w:t>
            </w:r>
          </w:p>
        </w:tc>
        <w:tc>
          <w:tcPr>
            <w:tcW w:w="2097" w:type="dxa"/>
          </w:tcPr>
          <w:p w14:paraId="1F8AA387"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1. 1.</w:t>
            </w:r>
          </w:p>
        </w:tc>
      </w:tr>
      <w:tr w:rsidR="00611FCC" w14:paraId="728E372D" w14:textId="77777777">
        <w:tc>
          <w:tcPr>
            <w:tcW w:w="1668" w:type="dxa"/>
          </w:tcPr>
          <w:p w14:paraId="15348A23"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2. 2.</w:t>
            </w:r>
          </w:p>
        </w:tc>
        <w:tc>
          <w:tcPr>
            <w:tcW w:w="2080" w:type="dxa"/>
          </w:tcPr>
          <w:p w14:paraId="1BA41F82"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2. 2.</w:t>
            </w:r>
          </w:p>
        </w:tc>
        <w:tc>
          <w:tcPr>
            <w:tcW w:w="1809" w:type="dxa"/>
          </w:tcPr>
          <w:p w14:paraId="025979F3"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2. 2.</w:t>
            </w:r>
          </w:p>
        </w:tc>
        <w:tc>
          <w:tcPr>
            <w:tcW w:w="2097" w:type="dxa"/>
          </w:tcPr>
          <w:p w14:paraId="3DA809D6"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2. 2.</w:t>
            </w:r>
          </w:p>
        </w:tc>
      </w:tr>
      <w:tr w:rsidR="00611FCC" w14:paraId="0A47F133" w14:textId="77777777">
        <w:tc>
          <w:tcPr>
            <w:tcW w:w="1668" w:type="dxa"/>
          </w:tcPr>
          <w:p w14:paraId="54E7A16C"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3. 3.</w:t>
            </w:r>
          </w:p>
        </w:tc>
        <w:tc>
          <w:tcPr>
            <w:tcW w:w="2080" w:type="dxa"/>
          </w:tcPr>
          <w:p w14:paraId="5528919D" w14:textId="77777777" w:rsidR="00611FCC" w:rsidRDefault="00611FCC">
            <w:pPr>
              <w:tabs>
                <w:tab w:val="center" w:pos="4680"/>
                <w:tab w:val="right" w:pos="9360"/>
              </w:tabs>
              <w:rPr>
                <w:rFonts w:ascii="Garamond" w:eastAsia="Garamond" w:hAnsi="Garamond" w:cs="Garamond"/>
                <w:sz w:val="20"/>
                <w:szCs w:val="20"/>
              </w:rPr>
            </w:pPr>
          </w:p>
        </w:tc>
        <w:tc>
          <w:tcPr>
            <w:tcW w:w="1809" w:type="dxa"/>
          </w:tcPr>
          <w:p w14:paraId="106704A9"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3. 3.</w:t>
            </w:r>
          </w:p>
        </w:tc>
        <w:tc>
          <w:tcPr>
            <w:tcW w:w="2097" w:type="dxa"/>
          </w:tcPr>
          <w:p w14:paraId="5B2A8BF4"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3. 3.</w:t>
            </w:r>
          </w:p>
        </w:tc>
      </w:tr>
      <w:tr w:rsidR="00611FCC" w14:paraId="3F273B1C" w14:textId="77777777">
        <w:tc>
          <w:tcPr>
            <w:tcW w:w="1668" w:type="dxa"/>
            <w:tcBorders>
              <w:bottom w:val="single" w:sz="4" w:space="0" w:color="000000"/>
            </w:tcBorders>
          </w:tcPr>
          <w:p w14:paraId="04FCF80A" w14:textId="77777777" w:rsidR="00611FCC" w:rsidRDefault="00611FCC">
            <w:pPr>
              <w:tabs>
                <w:tab w:val="center" w:pos="4680"/>
                <w:tab w:val="right" w:pos="9360"/>
              </w:tabs>
              <w:rPr>
                <w:rFonts w:ascii="Garamond" w:eastAsia="Garamond" w:hAnsi="Garamond" w:cs="Garamond"/>
                <w:sz w:val="20"/>
                <w:szCs w:val="20"/>
              </w:rPr>
            </w:pPr>
          </w:p>
        </w:tc>
        <w:tc>
          <w:tcPr>
            <w:tcW w:w="2080" w:type="dxa"/>
            <w:tcBorders>
              <w:bottom w:val="single" w:sz="4" w:space="0" w:color="000000"/>
            </w:tcBorders>
          </w:tcPr>
          <w:p w14:paraId="77C4482F" w14:textId="77777777" w:rsidR="00611FCC" w:rsidRDefault="00611FCC">
            <w:pPr>
              <w:tabs>
                <w:tab w:val="center" w:pos="4680"/>
                <w:tab w:val="right" w:pos="9360"/>
              </w:tabs>
              <w:rPr>
                <w:rFonts w:ascii="Garamond" w:eastAsia="Garamond" w:hAnsi="Garamond" w:cs="Garamond"/>
                <w:sz w:val="20"/>
                <w:szCs w:val="20"/>
              </w:rPr>
            </w:pPr>
          </w:p>
        </w:tc>
        <w:tc>
          <w:tcPr>
            <w:tcW w:w="1809" w:type="dxa"/>
            <w:tcBorders>
              <w:bottom w:val="single" w:sz="4" w:space="0" w:color="000000"/>
            </w:tcBorders>
          </w:tcPr>
          <w:p w14:paraId="401227E3" w14:textId="77777777" w:rsidR="00611FCC" w:rsidRDefault="00611FCC">
            <w:pPr>
              <w:tabs>
                <w:tab w:val="center" w:pos="4680"/>
                <w:tab w:val="right" w:pos="9360"/>
              </w:tabs>
              <w:rPr>
                <w:rFonts w:ascii="Garamond" w:eastAsia="Garamond" w:hAnsi="Garamond" w:cs="Garamond"/>
                <w:sz w:val="20"/>
                <w:szCs w:val="20"/>
              </w:rPr>
            </w:pPr>
          </w:p>
        </w:tc>
        <w:tc>
          <w:tcPr>
            <w:tcW w:w="2097" w:type="dxa"/>
            <w:tcBorders>
              <w:bottom w:val="single" w:sz="4" w:space="0" w:color="000000"/>
            </w:tcBorders>
          </w:tcPr>
          <w:p w14:paraId="13911033" w14:textId="77777777" w:rsidR="00611FCC" w:rsidRDefault="00000000">
            <w:pPr>
              <w:tabs>
                <w:tab w:val="center" w:pos="4680"/>
                <w:tab w:val="right" w:pos="9360"/>
              </w:tabs>
              <w:rPr>
                <w:rFonts w:ascii="Garamond" w:eastAsia="Garamond" w:hAnsi="Garamond" w:cs="Garamond"/>
                <w:sz w:val="20"/>
                <w:szCs w:val="20"/>
              </w:rPr>
            </w:pPr>
            <w:r>
              <w:rPr>
                <w:rFonts w:ascii="Garamond" w:eastAsia="Garamond" w:hAnsi="Garamond" w:cs="Garamond"/>
                <w:sz w:val="18"/>
                <w:szCs w:val="18"/>
              </w:rPr>
              <w:t>4. 4.</w:t>
            </w:r>
          </w:p>
        </w:tc>
      </w:tr>
    </w:tbl>
    <w:p w14:paraId="5F137F0E" w14:textId="77777777" w:rsidR="00611FCC" w:rsidRDefault="00000000">
      <w:pPr>
        <w:jc w:val="both"/>
        <w:rPr>
          <w:rFonts w:ascii="Garamond" w:eastAsia="Garamond" w:hAnsi="Garamond" w:cs="Garamond"/>
        </w:rPr>
      </w:pPr>
      <w:r>
        <w:rPr>
          <w:rFonts w:ascii="Garamond" w:eastAsia="Garamond" w:hAnsi="Garamond" w:cs="Garamond"/>
        </w:rPr>
        <w:t>Figure captions should be centered below the figures, as shown in this example</w:t>
      </w:r>
    </w:p>
    <w:p w14:paraId="09FE2CC8" w14:textId="77777777" w:rsidR="00611FCC" w:rsidRDefault="00611FCC">
      <w:pPr>
        <w:jc w:val="both"/>
        <w:rPr>
          <w:rFonts w:ascii="Garamond" w:eastAsia="Garamond" w:hAnsi="Garamond" w:cs="Garamond"/>
        </w:rPr>
      </w:pPr>
    </w:p>
    <w:p w14:paraId="7708AF52" w14:textId="77777777" w:rsidR="00611FCC" w:rsidRDefault="00000000">
      <w:pPr>
        <w:jc w:val="center"/>
        <w:rPr>
          <w:rFonts w:ascii="Garamond" w:eastAsia="Garamond" w:hAnsi="Garamond" w:cs="Garamond"/>
        </w:rPr>
      </w:pPr>
      <w:r>
        <w:rPr>
          <w:rFonts w:ascii="Garamond" w:eastAsia="Garamond" w:hAnsi="Garamond" w:cs="Garamond"/>
          <w:noProof/>
        </w:rPr>
        <w:lastRenderedPageBreak/>
        <w:drawing>
          <wp:inline distT="0" distB="0" distL="0" distR="0" wp14:anchorId="6215C30C" wp14:editId="77E89FAA">
            <wp:extent cx="2571750" cy="14001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571750" cy="1400175"/>
                    </a:xfrm>
                    <a:prstGeom prst="rect">
                      <a:avLst/>
                    </a:prstGeom>
                    <a:ln/>
                  </pic:spPr>
                </pic:pic>
              </a:graphicData>
            </a:graphic>
          </wp:inline>
        </w:drawing>
      </w:r>
    </w:p>
    <w:p w14:paraId="233AE59C" w14:textId="77777777" w:rsidR="00611FCC" w:rsidRDefault="00000000">
      <w:pPr>
        <w:ind w:firstLine="12"/>
        <w:jc w:val="center"/>
        <w:rPr>
          <w:rFonts w:ascii="Garamond" w:eastAsia="Garamond" w:hAnsi="Garamond" w:cs="Garamond"/>
        </w:rPr>
      </w:pPr>
      <w:r>
        <w:rPr>
          <w:rFonts w:ascii="Garamond" w:eastAsia="Garamond" w:hAnsi="Garamond" w:cs="Garamond"/>
          <w:b/>
        </w:rPr>
        <w:t>Figure 1. Experiential learning cycle, adapted from Kolb (year)</w:t>
      </w:r>
    </w:p>
    <w:p w14:paraId="25875F39" w14:textId="77777777" w:rsidR="00611FCC" w:rsidRDefault="00611FCC">
      <w:pPr>
        <w:jc w:val="both"/>
        <w:rPr>
          <w:rFonts w:ascii="Garamond" w:eastAsia="Garamond" w:hAnsi="Garamond" w:cs="Garamond"/>
        </w:rPr>
      </w:pPr>
    </w:p>
    <w:p w14:paraId="555CE778" w14:textId="77777777" w:rsidR="00611FCC" w:rsidRDefault="00000000">
      <w:pPr>
        <w:jc w:val="both"/>
        <w:rPr>
          <w:rFonts w:ascii="Garamond" w:eastAsia="Garamond" w:hAnsi="Garamond" w:cs="Garamond"/>
        </w:rPr>
      </w:pPr>
      <w:r>
        <w:rPr>
          <w:rFonts w:ascii="Garamond" w:eastAsia="Garamond" w:hAnsi="Garamond" w:cs="Garamond"/>
        </w:rPr>
        <w:t>The discussion should explore the significance of the results of the work, not repeat them. A combined Results and Discussion section is often appropriate. Avoid extensive citations and discussion of published literature.</w:t>
      </w:r>
    </w:p>
    <w:p w14:paraId="6828D7A9" w14:textId="77777777" w:rsidR="00611FCC" w:rsidRDefault="00611FCC">
      <w:pPr>
        <w:jc w:val="both"/>
        <w:rPr>
          <w:rFonts w:ascii="Garamond" w:eastAsia="Garamond" w:hAnsi="Garamond" w:cs="Garamond"/>
        </w:rPr>
      </w:pPr>
    </w:p>
    <w:p w14:paraId="01E64BE9" w14:textId="77777777" w:rsidR="00611FCC" w:rsidRDefault="00000000">
      <w:pPr>
        <w:jc w:val="both"/>
        <w:rPr>
          <w:rFonts w:ascii="Garamond" w:eastAsia="Garamond" w:hAnsi="Garamond" w:cs="Garamond"/>
        </w:rPr>
      </w:pPr>
      <w:r>
        <w:rPr>
          <w:rFonts w:ascii="Garamond" w:eastAsia="Garamond" w:hAnsi="Garamond" w:cs="Garamond"/>
        </w:rPr>
        <w:t>In discussion, it is the most important section of your article. Here you get the chance to sell your data. Make the discussion corresponding to the results, but do not reiterate the results. Often should begin with a brief summary of the main scientific findings (not experimental results) (Handoko, 2024). The following components should be covered in discussion: How do your results relate to the original question or objectives outlined in the Introduction section (what)? Do you provide interpretation scientifically for each of your results or findings presented (why)? Are your results consistent with what other investigators have reported (what else)? Or are there any differences?</w:t>
      </w:r>
    </w:p>
    <w:p w14:paraId="7AFAD121" w14:textId="77777777" w:rsidR="00611FCC" w:rsidRDefault="00611FCC">
      <w:pPr>
        <w:jc w:val="both"/>
        <w:rPr>
          <w:rFonts w:ascii="Garamond" w:eastAsia="Garamond" w:hAnsi="Garamond" w:cs="Garamond"/>
        </w:rPr>
      </w:pPr>
    </w:p>
    <w:p w14:paraId="0335D4A2" w14:textId="77777777" w:rsidR="00611FCC" w:rsidRDefault="00611FCC">
      <w:pPr>
        <w:tabs>
          <w:tab w:val="right" w:pos="9360"/>
        </w:tabs>
        <w:jc w:val="both"/>
        <w:rPr>
          <w:rFonts w:ascii="Garamond" w:eastAsia="Garamond" w:hAnsi="Garamond" w:cs="Garamond"/>
        </w:rPr>
      </w:pPr>
    </w:p>
    <w:p w14:paraId="432AF5C9" w14:textId="77777777" w:rsidR="00611FCC" w:rsidRDefault="00000000">
      <w:pPr>
        <w:tabs>
          <w:tab w:val="right" w:pos="9360"/>
        </w:tabs>
        <w:jc w:val="both"/>
        <w:rPr>
          <w:rFonts w:ascii="Garamond" w:eastAsia="Garamond" w:hAnsi="Garamond" w:cs="Garamond"/>
          <w:b/>
        </w:rPr>
      </w:pPr>
      <w:r>
        <w:rPr>
          <w:rFonts w:ascii="Garamond" w:eastAsia="Garamond" w:hAnsi="Garamond" w:cs="Garamond"/>
          <w:b/>
        </w:rPr>
        <w:t>CONCLUSION</w:t>
      </w:r>
    </w:p>
    <w:p w14:paraId="6223FCEE" w14:textId="77777777" w:rsidR="00611FCC" w:rsidRDefault="00000000">
      <w:pPr>
        <w:tabs>
          <w:tab w:val="right" w:pos="9360"/>
        </w:tabs>
        <w:jc w:val="both"/>
        <w:rPr>
          <w:rFonts w:ascii="Garamond" w:eastAsia="Garamond" w:hAnsi="Garamond" w:cs="Garamond"/>
        </w:rPr>
      </w:pPr>
      <w:r>
        <w:rPr>
          <w:rFonts w:ascii="Garamond" w:eastAsia="Garamond" w:hAnsi="Garamond" w:cs="Garamond"/>
        </w:rPr>
        <w:t>Contains a description of the conclusions and suggestions that answer questions and formulation of the problem with succinctly and clearly. Because, without a description of the clear cover, reviewers are and the reader would find it difficult to give an assessment of your article. Do not repeat the Abstract, or simply describe the results of research. Give a clear explanation regarding the possible application and / or suggestions related to the research findings.</w:t>
      </w:r>
    </w:p>
    <w:p w14:paraId="19AB304C" w14:textId="77777777" w:rsidR="00611FCC" w:rsidRDefault="00611FCC">
      <w:pPr>
        <w:tabs>
          <w:tab w:val="right" w:pos="9360"/>
        </w:tabs>
        <w:jc w:val="both"/>
        <w:rPr>
          <w:rFonts w:ascii="Garamond" w:eastAsia="Garamond" w:hAnsi="Garamond" w:cs="Garamond"/>
        </w:rPr>
      </w:pPr>
    </w:p>
    <w:p w14:paraId="5768946C" w14:textId="77777777" w:rsidR="00611FCC" w:rsidRDefault="00000000">
      <w:pPr>
        <w:tabs>
          <w:tab w:val="right" w:pos="9360"/>
        </w:tabs>
        <w:jc w:val="both"/>
        <w:rPr>
          <w:rFonts w:ascii="Garamond" w:eastAsia="Garamond" w:hAnsi="Garamond" w:cs="Garamond"/>
          <w:b/>
        </w:rPr>
      </w:pPr>
      <w:r>
        <w:rPr>
          <w:rFonts w:ascii="Garamond" w:eastAsia="Garamond" w:hAnsi="Garamond" w:cs="Garamond"/>
          <w:b/>
        </w:rPr>
        <w:t>ACKNOWLEDGEMENTS (if any)</w:t>
      </w:r>
    </w:p>
    <w:p w14:paraId="6212D1A4" w14:textId="77777777" w:rsidR="00611FCC" w:rsidRDefault="00000000">
      <w:pPr>
        <w:tabs>
          <w:tab w:val="right" w:pos="9360"/>
        </w:tabs>
        <w:jc w:val="both"/>
        <w:rPr>
          <w:rFonts w:ascii="Garamond" w:eastAsia="Garamond" w:hAnsi="Garamond" w:cs="Garamond"/>
        </w:rPr>
      </w:pPr>
      <w:r>
        <w:rPr>
          <w:rFonts w:ascii="Garamond" w:eastAsia="Garamond" w:hAnsi="Garamond" w:cs="Garamond"/>
        </w:rPr>
        <w:t>Recognize those who helped in the research, especially funding supporter of your research. Include individuals who have assisted you in your study: Advisors, Financial supporters, or may other supporter i.e., Proofreaders, Typists, and Suppliers who may have given materials.</w:t>
      </w:r>
    </w:p>
    <w:p w14:paraId="07017BB0" w14:textId="77777777" w:rsidR="00611FCC" w:rsidRDefault="00611FCC">
      <w:pPr>
        <w:tabs>
          <w:tab w:val="right" w:pos="9360"/>
        </w:tabs>
        <w:jc w:val="both"/>
        <w:rPr>
          <w:rFonts w:ascii="Garamond" w:eastAsia="Garamond" w:hAnsi="Garamond" w:cs="Garamond"/>
        </w:rPr>
      </w:pPr>
    </w:p>
    <w:p w14:paraId="5EF2D31F" w14:textId="77777777" w:rsidR="00611FCC" w:rsidRDefault="00000000">
      <w:pPr>
        <w:tabs>
          <w:tab w:val="right" w:pos="9360"/>
        </w:tabs>
        <w:jc w:val="both"/>
        <w:rPr>
          <w:rFonts w:ascii="Garamond" w:eastAsia="Garamond" w:hAnsi="Garamond" w:cs="Garamond"/>
          <w:b/>
        </w:rPr>
      </w:pPr>
      <w:r>
        <w:rPr>
          <w:rFonts w:ascii="Garamond" w:eastAsia="Garamond" w:hAnsi="Garamond" w:cs="Garamond"/>
          <w:b/>
        </w:rPr>
        <w:t>REFERENCES (Please use Zotero or Mendeley as Reference Manager Applications)</w:t>
      </w:r>
    </w:p>
    <w:p w14:paraId="249A3158" w14:textId="77777777" w:rsidR="00611FCC" w:rsidRDefault="00611FCC">
      <w:pPr>
        <w:tabs>
          <w:tab w:val="right" w:pos="9360"/>
        </w:tabs>
        <w:jc w:val="both"/>
        <w:rPr>
          <w:rFonts w:ascii="Garamond" w:eastAsia="Garamond" w:hAnsi="Garamond" w:cs="Garamond"/>
          <w:b/>
        </w:rPr>
      </w:pPr>
    </w:p>
    <w:p w14:paraId="4A63B1B8" w14:textId="77777777" w:rsidR="00611FCC" w:rsidRDefault="00000000">
      <w:pPr>
        <w:tabs>
          <w:tab w:val="right" w:pos="9360"/>
        </w:tabs>
        <w:jc w:val="both"/>
        <w:rPr>
          <w:rFonts w:ascii="Garamond" w:eastAsia="Garamond" w:hAnsi="Garamond" w:cs="Garamond"/>
        </w:rPr>
      </w:pPr>
      <w:r>
        <w:rPr>
          <w:rFonts w:ascii="Garamond" w:eastAsia="Garamond" w:hAnsi="Garamond" w:cs="Garamond"/>
        </w:rPr>
        <w:t>Authors should ensure that all references are cited in the text and vice versa. Authors are responsible for checking the accuracy of each reference. APA 7th edition referencing conventions, attached in a separate file, should be followed</w:t>
      </w:r>
    </w:p>
    <w:p w14:paraId="6DA5B4E3" w14:textId="77777777" w:rsidR="00611FCC" w:rsidRDefault="00000000">
      <w:pPr>
        <w:tabs>
          <w:tab w:val="right" w:pos="9360"/>
        </w:tabs>
        <w:jc w:val="both"/>
        <w:rPr>
          <w:rFonts w:ascii="Garamond" w:eastAsia="Garamond" w:hAnsi="Garamond" w:cs="Garamond"/>
        </w:rPr>
      </w:pPr>
      <w:r>
        <w:rPr>
          <w:rFonts w:ascii="Garamond" w:eastAsia="Garamond" w:hAnsi="Garamond" w:cs="Garamond"/>
        </w:rPr>
        <w:t>(a References example)</w:t>
      </w:r>
    </w:p>
    <w:p w14:paraId="09194887" w14:textId="77777777" w:rsidR="00611FCC" w:rsidRDefault="00611FCC">
      <w:pPr>
        <w:tabs>
          <w:tab w:val="right" w:pos="9360"/>
        </w:tabs>
        <w:jc w:val="both"/>
        <w:rPr>
          <w:rFonts w:ascii="Garamond" w:eastAsia="Garamond" w:hAnsi="Garamond" w:cs="Garamond"/>
        </w:rPr>
      </w:pPr>
    </w:p>
    <w:p w14:paraId="2A00116D"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Borg, S., &amp;Alshumaimeri, Y. (2019). Language learner autonomy in a tertiary context: Teachers’ beliefs and practices. Language Teaching Research, 23(1), 9–38. </w:t>
      </w:r>
      <w:hyperlink r:id="rId8">
        <w:r w:rsidR="00611FCC">
          <w:rPr>
            <w:rFonts w:ascii="Garamond" w:eastAsia="Garamond" w:hAnsi="Garamond" w:cs="Garamond"/>
            <w:color w:val="000000"/>
          </w:rPr>
          <w:t>https://doi.org/10.1177/1362168817725759</w:t>
        </w:r>
      </w:hyperlink>
    </w:p>
    <w:p w14:paraId="5FA946C8"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Dávila, L. T. (2019). “J’aime to be Funny!”: Humor, Learning, and Identity Construction in High School English as a Second Language Classrooms. The Modern Language Journal, 103(2), 502–514. </w:t>
      </w:r>
      <w:hyperlink r:id="rId9">
        <w:r w:rsidR="00611FCC">
          <w:rPr>
            <w:rFonts w:ascii="Garamond" w:eastAsia="Garamond" w:hAnsi="Garamond" w:cs="Garamond"/>
            <w:color w:val="000000"/>
          </w:rPr>
          <w:t>https://doi.org/10.1111/modl.12557</w:t>
        </w:r>
      </w:hyperlink>
    </w:p>
    <w:p w14:paraId="7C0D4BBB"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Demie, F. (2018). English as an additional language and attainment in primary schools in England. Journal of Multilingual and Multicultural Development, 39(3), 210–223. </w:t>
      </w:r>
      <w:hyperlink r:id="rId10">
        <w:r w:rsidR="00611FCC">
          <w:rPr>
            <w:rFonts w:ascii="Garamond" w:eastAsia="Garamond" w:hAnsi="Garamond" w:cs="Garamond"/>
            <w:color w:val="000000"/>
          </w:rPr>
          <w:t>https://doi.org/10.1080/01434632.2017.1348508</w:t>
        </w:r>
      </w:hyperlink>
    </w:p>
    <w:p w14:paraId="251F4669"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Dockrell, J. E., Connelly, V., &amp;Arfè, B. (2019). Struggling writers in elementary school: Capturing drivers of performance. Learning and Instruction, 60, 75–84. </w:t>
      </w:r>
      <w:hyperlink r:id="rId11">
        <w:r w:rsidR="00611FCC">
          <w:rPr>
            <w:rFonts w:ascii="Garamond" w:eastAsia="Garamond" w:hAnsi="Garamond" w:cs="Garamond"/>
            <w:color w:val="000000"/>
          </w:rPr>
          <w:t>https://doi.org/10.1016/j.learninstruc.2018.11.009</w:t>
        </w:r>
      </w:hyperlink>
    </w:p>
    <w:p w14:paraId="3BDCFF30"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Flowers, S., Kelsen, B., &amp;Cvitkovic, B. (2019). Learner autonomy versus guided reflection: How different methodologies affect intercultural development in online intercultural exchange. ReCALL, 1–17. </w:t>
      </w:r>
      <w:hyperlink r:id="rId12">
        <w:r w:rsidR="00611FCC">
          <w:rPr>
            <w:rFonts w:ascii="Garamond" w:eastAsia="Garamond" w:hAnsi="Garamond" w:cs="Garamond"/>
            <w:color w:val="000000"/>
          </w:rPr>
          <w:t>https://doi.org/10.1017/S0958344019000016</w:t>
        </w:r>
      </w:hyperlink>
    </w:p>
    <w:p w14:paraId="2836B47F"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Frankel, K. K., Jaeger, E. L., Brooks, M. D., &amp; Randel, M. A. (2015). Struggling Readers? Using Theory to Complicate Understandings of What It Means to Be Literate in School. Literacy Research: Theory, Method, and Practice, 64(1), 307–322. </w:t>
      </w:r>
      <w:hyperlink r:id="rId13">
        <w:r w:rsidR="00611FCC">
          <w:rPr>
            <w:rFonts w:ascii="Garamond" w:eastAsia="Garamond" w:hAnsi="Garamond" w:cs="Garamond"/>
            <w:color w:val="000000"/>
          </w:rPr>
          <w:t>https://doi.org/10.1177/2381336915617606</w:t>
        </w:r>
      </w:hyperlink>
    </w:p>
    <w:p w14:paraId="55B740BB"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Hakan, K., Aydin, B., &amp; Bulent, A. (2015). An Investigation of Undergraduates’ Language Learning Strategies. Procedia - Social and Behavioral Sciences, 197, 1348–1354. </w:t>
      </w:r>
      <w:hyperlink r:id="rId14">
        <w:r w:rsidR="00611FCC">
          <w:rPr>
            <w:rFonts w:ascii="Garamond" w:eastAsia="Garamond" w:hAnsi="Garamond" w:cs="Garamond"/>
            <w:color w:val="000000"/>
          </w:rPr>
          <w:t>https://doi.org/10.1016/j.sbspro.2015.07.388</w:t>
        </w:r>
      </w:hyperlink>
    </w:p>
    <w:p w14:paraId="723B228B"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 xml:space="preserve">Huang, P. (2019). Textbook interaction: A study of the language and cultural contextualisation of English learning textbooks. Learning, Culture and Social Interaction, 21, 87–99. </w:t>
      </w:r>
      <w:hyperlink r:id="rId15">
        <w:r w:rsidR="00611FCC">
          <w:rPr>
            <w:rFonts w:ascii="Garamond" w:eastAsia="Garamond" w:hAnsi="Garamond" w:cs="Garamond"/>
            <w:color w:val="000000"/>
          </w:rPr>
          <w:t>https://doi.org/10.1016/j.lcsi.2019.02.006</w:t>
        </w:r>
      </w:hyperlink>
    </w:p>
    <w:p w14:paraId="61A91BD1" w14:textId="77777777" w:rsidR="00611FCC" w:rsidRDefault="00000000">
      <w:pPr>
        <w:tabs>
          <w:tab w:val="right" w:pos="9360"/>
        </w:tabs>
        <w:ind w:left="426" w:hanging="426"/>
        <w:jc w:val="both"/>
        <w:rPr>
          <w:rFonts w:ascii="Garamond" w:eastAsia="Garamond" w:hAnsi="Garamond" w:cs="Garamond"/>
        </w:rPr>
      </w:pPr>
      <w:r>
        <w:rPr>
          <w:rFonts w:ascii="Garamond" w:eastAsia="Garamond" w:hAnsi="Garamond" w:cs="Garamond"/>
        </w:rPr>
        <w:t>Langum, V., &amp; Sullivan, K. P. H. (2017). Writing academic english as a doctoral student in sweden: Narrative perspectives. Journal of Second Language Writing, 35, 20–25. https://doi.org/10.1016/j.jslw.2016.12.004</w:t>
      </w:r>
    </w:p>
    <w:p w14:paraId="2F9CFB5E" w14:textId="77777777" w:rsidR="00611FCC" w:rsidRDefault="00611FCC">
      <w:pPr>
        <w:tabs>
          <w:tab w:val="right" w:pos="9360"/>
        </w:tabs>
        <w:jc w:val="both"/>
        <w:rPr>
          <w:rFonts w:ascii="Garamond" w:eastAsia="Garamond" w:hAnsi="Garamond" w:cs="Garamond"/>
        </w:rPr>
      </w:pPr>
    </w:p>
    <w:p w14:paraId="346401D7" w14:textId="77777777" w:rsidR="00611FCC" w:rsidRDefault="00000000">
      <w:pPr>
        <w:tabs>
          <w:tab w:val="right" w:pos="9360"/>
        </w:tabs>
        <w:jc w:val="both"/>
        <w:rPr>
          <w:rFonts w:ascii="Garamond" w:eastAsia="Garamond" w:hAnsi="Garamond" w:cs="Garamond"/>
          <w:b/>
          <w:color w:val="0000FF"/>
        </w:rPr>
      </w:pPr>
      <w:r>
        <w:rPr>
          <w:rFonts w:ascii="Garamond" w:eastAsia="Garamond" w:hAnsi="Garamond" w:cs="Garamond"/>
          <w:b/>
          <w:color w:val="0000FF"/>
        </w:rPr>
        <w:t>Important note: The plagiarism score must not exceed 20%</w:t>
      </w:r>
    </w:p>
    <w:p w14:paraId="7BA773E3" w14:textId="77777777" w:rsidR="00611FCC" w:rsidRDefault="00611FCC">
      <w:pPr>
        <w:tabs>
          <w:tab w:val="right" w:pos="9360"/>
        </w:tabs>
        <w:jc w:val="both"/>
        <w:rPr>
          <w:rFonts w:ascii="Garamond" w:eastAsia="Garamond" w:hAnsi="Garamond" w:cs="Garamond"/>
        </w:rPr>
      </w:pPr>
    </w:p>
    <w:sectPr w:rsidR="00611FCC">
      <w:headerReference w:type="even" r:id="rId16"/>
      <w:headerReference w:type="default" r:id="rId17"/>
      <w:footerReference w:type="even" r:id="rId18"/>
      <w:footerReference w:type="default" r:id="rId19"/>
      <w:headerReference w:type="first" r:id="rId20"/>
      <w:footerReference w:type="first" r:id="rId21"/>
      <w:pgSz w:w="11907" w:h="16840"/>
      <w:pgMar w:top="1361" w:right="1134" w:bottom="1531"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BBE25" w14:textId="77777777" w:rsidR="001878C8" w:rsidRDefault="001878C8">
      <w:r>
        <w:separator/>
      </w:r>
    </w:p>
  </w:endnote>
  <w:endnote w:type="continuationSeparator" w:id="0">
    <w:p w14:paraId="46970BE6" w14:textId="77777777" w:rsidR="001878C8" w:rsidRDefault="0018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EC07C435-9ABA-4637-94EF-F088C30039AB}"/>
    <w:embedItalic r:id="rId2" w:fontKey="{81B60D37-1CBC-4BB4-80D5-92F7E8FCDC91}"/>
  </w:font>
  <w:font w:name="Cambria">
    <w:panose1 w:val="02040503050406030204"/>
    <w:charset w:val="00"/>
    <w:family w:val="roman"/>
    <w:pitch w:val="variable"/>
    <w:sig w:usb0="E00006FF" w:usb1="420024FF" w:usb2="02000000" w:usb3="00000000" w:csb0="0000019F" w:csb1="00000000"/>
    <w:embedRegular r:id="rId3" w:fontKey="{6C30AF10-2F7A-45F2-834A-07AE85BB0811}"/>
    <w:embedBold r:id="rId4" w:fontKey="{080FE7BD-F8EA-4003-BCAC-376730349A74}"/>
  </w:font>
  <w:font w:name="Garamond">
    <w:panose1 w:val="02020404030301010803"/>
    <w:charset w:val="00"/>
    <w:family w:val="roman"/>
    <w:pitch w:val="variable"/>
    <w:sig w:usb0="00000287" w:usb1="00000000" w:usb2="00000000" w:usb3="00000000" w:csb0="0000009F" w:csb1="00000000"/>
    <w:embedRegular r:id="rId5" w:fontKey="{927EA0E2-7F5B-4638-8B1F-DDB30577EBCF}"/>
    <w:embedBold r:id="rId6" w:fontKey="{36724AED-D63A-4351-9238-22A84AA10EAE}"/>
    <w:embedItalic r:id="rId7" w:fontKey="{FDC541B8-E2E0-49EA-970E-05B2984F1200}"/>
  </w:font>
  <w:font w:name="Calibri">
    <w:panose1 w:val="020F0502020204030204"/>
    <w:charset w:val="00"/>
    <w:family w:val="swiss"/>
    <w:pitch w:val="variable"/>
    <w:sig w:usb0="E4002EFF" w:usb1="C200247B" w:usb2="00000009" w:usb3="00000000" w:csb0="000001FF" w:csb1="00000000"/>
    <w:embedRegular r:id="rId8" w:fontKey="{74178AD3-E4A1-4533-96A1-DE0572CFF9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3072" w14:textId="77777777" w:rsidR="00611FCC" w:rsidRDefault="00000000">
    <w:pPr>
      <w:pBdr>
        <w:top w:val="nil"/>
        <w:left w:val="nil"/>
        <w:bottom w:val="nil"/>
        <w:right w:val="nil"/>
        <w:between w:val="nil"/>
      </w:pBdr>
      <w:tabs>
        <w:tab w:val="center" w:pos="4680"/>
        <w:tab w:val="right" w:pos="9360"/>
      </w:tabs>
      <w:rPr>
        <w:rFonts w:ascii="Garamond" w:eastAsia="Garamond" w:hAnsi="Garamond" w:cs="Garamond"/>
        <w:b/>
        <w:color w:val="000000"/>
        <w:sz w:val="20"/>
        <w:szCs w:val="20"/>
      </w:rPr>
    </w:pPr>
    <w:r>
      <w:rPr>
        <w:rFonts w:ascii="Garamond" w:eastAsia="Garamond" w:hAnsi="Garamond" w:cs="Garamond"/>
        <w:b/>
        <w:color w:val="000000"/>
        <w:sz w:val="28"/>
        <w:szCs w:val="28"/>
      </w:rPr>
      <w:tab/>
    </w:r>
    <w:r>
      <w:rPr>
        <w:rFonts w:ascii="Garamond" w:eastAsia="Garamond" w:hAnsi="Garamond" w:cs="Garamond"/>
        <w:b/>
        <w:color w:val="000000"/>
        <w:sz w:val="28"/>
        <w:szCs w:val="28"/>
      </w:rPr>
      <w:tab/>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3CD2" w14:textId="77777777" w:rsidR="00611FCC" w:rsidRDefault="00000000">
    <w:pPr>
      <w:pBdr>
        <w:top w:val="nil"/>
        <w:left w:val="nil"/>
        <w:bottom w:val="nil"/>
        <w:right w:val="nil"/>
        <w:between w:val="nil"/>
      </w:pBdr>
      <w:tabs>
        <w:tab w:val="center" w:pos="4680"/>
        <w:tab w:val="right" w:pos="9360"/>
      </w:tabs>
      <w:jc w:val="right"/>
      <w:rPr>
        <w:rFonts w:ascii="Garamond" w:eastAsia="Garamond" w:hAnsi="Garamond" w:cs="Garamond"/>
        <w:b/>
        <w:color w:val="000000"/>
      </w:rPr>
    </w:pPr>
    <w:r>
      <w:rPr>
        <w:rFonts w:ascii="Garamond" w:eastAsia="Garamond" w:hAnsi="Garamond" w:cs="Garamond"/>
        <w:b/>
        <w:color w:val="00000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9BF3C" w14:textId="77777777" w:rsidR="00611FCC"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53662">
      <w:rPr>
        <w:noProof/>
        <w:color w:val="000000"/>
      </w:rPr>
      <w:t>1</w:t>
    </w:r>
    <w:r>
      <w:rPr>
        <w:color w:val="000000"/>
      </w:rPr>
      <w:fldChar w:fldCharType="end"/>
    </w:r>
  </w:p>
  <w:p w14:paraId="2BCA44F9" w14:textId="77777777" w:rsidR="00611FCC" w:rsidRDefault="00611FCC">
    <w:pPr>
      <w:pBdr>
        <w:top w:val="nil"/>
        <w:left w:val="nil"/>
        <w:bottom w:val="nil"/>
        <w:right w:val="nil"/>
        <w:between w:val="nil"/>
      </w:pBdr>
      <w:tabs>
        <w:tab w:val="center" w:pos="4680"/>
        <w:tab w:val="right" w:pos="9360"/>
      </w:tabs>
      <w:jc w:val="right"/>
      <w:rPr>
        <w:rFonts w:ascii="Garamond" w:eastAsia="Garamond" w:hAnsi="Garamond" w:cs="Garamond"/>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03EB9" w14:textId="77777777" w:rsidR="001878C8" w:rsidRDefault="001878C8">
      <w:r>
        <w:separator/>
      </w:r>
    </w:p>
  </w:footnote>
  <w:footnote w:type="continuationSeparator" w:id="0">
    <w:p w14:paraId="37459B3C" w14:textId="77777777" w:rsidR="001878C8" w:rsidRDefault="00187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C82D" w14:textId="77777777" w:rsidR="00611FCC" w:rsidRDefault="00000000">
    <w:pPr>
      <w:pBdr>
        <w:top w:val="nil"/>
        <w:left w:val="nil"/>
        <w:bottom w:val="nil"/>
        <w:right w:val="nil"/>
        <w:between w:val="nil"/>
      </w:pBdr>
      <w:tabs>
        <w:tab w:val="center" w:pos="4680"/>
        <w:tab w:val="right" w:pos="9360"/>
      </w:tabs>
      <w:jc w:val="right"/>
      <w:rPr>
        <w:rFonts w:ascii="Garamond" w:eastAsia="Garamond" w:hAnsi="Garamond" w:cs="Garamond"/>
        <w:color w:val="000000"/>
        <w:sz w:val="32"/>
        <w:szCs w:val="32"/>
      </w:rPr>
    </w:pPr>
    <w:r>
      <w:rPr>
        <w:rFonts w:ascii="Garamond" w:eastAsia="Garamond" w:hAnsi="Garamond" w:cs="Garamond"/>
        <w:color w:val="000000"/>
        <w:sz w:val="22"/>
        <w:szCs w:val="22"/>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DCADE" w14:textId="77777777" w:rsidR="00611FCC" w:rsidRDefault="00000000">
    <w:pPr>
      <w:pBdr>
        <w:top w:val="nil"/>
        <w:left w:val="nil"/>
        <w:bottom w:val="nil"/>
        <w:right w:val="nil"/>
        <w:between w:val="nil"/>
      </w:pBdr>
      <w:tabs>
        <w:tab w:val="center" w:pos="4680"/>
        <w:tab w:val="right" w:pos="9360"/>
      </w:tabs>
      <w:jc w:val="right"/>
      <w:rPr>
        <w:rFonts w:ascii="Garamond" w:eastAsia="Garamond" w:hAnsi="Garamond" w:cs="Garamond"/>
        <w:color w:val="000000"/>
        <w:sz w:val="20"/>
        <w:szCs w:val="20"/>
      </w:rPr>
    </w:pPr>
    <w:r>
      <w:rPr>
        <w:rFonts w:ascii="Garamond" w:eastAsia="Garamond" w:hAnsi="Garamond" w:cs="Garamond"/>
        <w:color w:val="000000"/>
        <w:sz w:val="20"/>
        <w:szCs w:val="20"/>
      </w:rPr>
      <w:t>Title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E187" w14:textId="131B1267" w:rsidR="00611FCC" w:rsidRDefault="00353662">
    <w:pPr>
      <w:pBdr>
        <w:top w:val="nil"/>
        <w:left w:val="nil"/>
        <w:bottom w:val="nil"/>
        <w:right w:val="nil"/>
        <w:between w:val="nil"/>
      </w:pBdr>
      <w:tabs>
        <w:tab w:val="center" w:pos="4680"/>
        <w:tab w:val="right" w:pos="9360"/>
        <w:tab w:val="left" w:pos="8490"/>
      </w:tabs>
      <w:rPr>
        <w:color w:val="000000"/>
      </w:rPr>
    </w:pPr>
    <w:r>
      <w:rPr>
        <w:noProof/>
      </w:rPr>
      <w:drawing>
        <wp:inline distT="0" distB="0" distL="0" distR="0" wp14:anchorId="109DB0A5" wp14:editId="4CFAD41D">
          <wp:extent cx="1224453" cy="695798"/>
          <wp:effectExtent l="0" t="0" r="0" b="9525"/>
          <wp:docPr id="1" name="Picture 1" descr="A logo with green and blue grad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green and blue gradien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7652" cy="703298"/>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9C97682" wp14:editId="225D5E8F">
              <wp:simplePos x="0" y="0"/>
              <wp:positionH relativeFrom="column">
                <wp:posOffset>1231900</wp:posOffset>
              </wp:positionH>
              <wp:positionV relativeFrom="paragraph">
                <wp:posOffset>-63499</wp:posOffset>
              </wp:positionV>
              <wp:extent cx="4800600" cy="1057275"/>
              <wp:effectExtent l="0" t="0" r="0" b="0"/>
              <wp:wrapNone/>
              <wp:docPr id="4" name="Rectangle 4"/>
              <wp:cNvGraphicFramePr/>
              <a:graphic xmlns:a="http://schemas.openxmlformats.org/drawingml/2006/main">
                <a:graphicData uri="http://schemas.microsoft.com/office/word/2010/wordprocessingShape">
                  <wps:wsp>
                    <wps:cNvSpPr/>
                    <wps:spPr>
                      <a:xfrm>
                        <a:off x="2955225" y="3260888"/>
                        <a:ext cx="4781550" cy="1038225"/>
                      </a:xfrm>
                      <a:prstGeom prst="rect">
                        <a:avLst/>
                      </a:prstGeom>
                      <a:noFill/>
                      <a:ln>
                        <a:noFill/>
                      </a:ln>
                    </wps:spPr>
                    <wps:txbx>
                      <w:txbxContent>
                        <w:p w14:paraId="77140C37" w14:textId="1D583FC0" w:rsidR="00611FCC" w:rsidRDefault="00000000">
                          <w:pPr>
                            <w:jc w:val="right"/>
                            <w:textDirection w:val="btLr"/>
                          </w:pPr>
                          <w:r>
                            <w:rPr>
                              <w:rFonts w:ascii="Garamond" w:eastAsia="Garamond" w:hAnsi="Garamond" w:cs="Garamond"/>
                              <w:color w:val="000000"/>
                              <w:sz w:val="22"/>
                            </w:rPr>
                            <w:t>eISSN 27</w:t>
                          </w:r>
                          <w:r w:rsidR="00CA66A4">
                            <w:rPr>
                              <w:rFonts w:ascii="Garamond" w:eastAsia="Garamond" w:hAnsi="Garamond" w:cs="Garamond"/>
                              <w:color w:val="000000"/>
                              <w:sz w:val="22"/>
                            </w:rPr>
                            <w:t>75-0000</w:t>
                          </w:r>
                        </w:p>
                        <w:p w14:paraId="57259E74" w14:textId="77777777" w:rsidR="00611FCC" w:rsidRDefault="00000000">
                          <w:pPr>
                            <w:jc w:val="right"/>
                            <w:textDirection w:val="btLr"/>
                          </w:pPr>
                          <w:r>
                            <w:rPr>
                              <w:rFonts w:ascii="Garamond" w:eastAsia="Garamond" w:hAnsi="Garamond" w:cs="Garamond"/>
                              <w:b/>
                              <w:color w:val="000000"/>
                              <w:sz w:val="22"/>
                            </w:rPr>
                            <w:t>International Conference on English Language Teaching</w:t>
                          </w:r>
                        </w:p>
                        <w:p w14:paraId="593CA760" w14:textId="77777777" w:rsidR="00611FCC" w:rsidRDefault="00000000">
                          <w:pPr>
                            <w:jc w:val="right"/>
                            <w:textDirection w:val="btLr"/>
                          </w:pPr>
                          <w:r>
                            <w:rPr>
                              <w:rFonts w:ascii="Garamond" w:eastAsia="Garamond" w:hAnsi="Garamond" w:cs="Garamond"/>
                              <w:b/>
                              <w:color w:val="000000"/>
                              <w:sz w:val="22"/>
                            </w:rPr>
                            <w:t>http://conference.unisma.ac.id/index.php/ICON/ICON-ELT</w:t>
                          </w:r>
                        </w:p>
                        <w:p w14:paraId="06EDE28C" w14:textId="4BBEB594" w:rsidR="00611FCC" w:rsidRDefault="00000000">
                          <w:pPr>
                            <w:jc w:val="right"/>
                            <w:textDirection w:val="btLr"/>
                          </w:pPr>
                          <w:r>
                            <w:rPr>
                              <w:rFonts w:ascii="Garamond" w:eastAsia="Garamond" w:hAnsi="Garamond" w:cs="Garamond"/>
                              <w:color w:val="000000"/>
                              <w:sz w:val="22"/>
                            </w:rPr>
                            <w:t xml:space="preserve">Volume </w:t>
                          </w:r>
                          <w:r w:rsidR="00353662">
                            <w:rPr>
                              <w:rFonts w:ascii="Garamond" w:eastAsia="Garamond" w:hAnsi="Garamond" w:cs="Garamond"/>
                              <w:color w:val="000000"/>
                              <w:sz w:val="22"/>
                            </w:rPr>
                            <w:t>7</w:t>
                          </w:r>
                          <w:r>
                            <w:rPr>
                              <w:rFonts w:ascii="Garamond" w:eastAsia="Garamond" w:hAnsi="Garamond" w:cs="Garamond"/>
                              <w:color w:val="000000"/>
                              <w:sz w:val="22"/>
                            </w:rPr>
                            <w:t xml:space="preserve"> | Number 1 | p… </w:t>
                          </w:r>
                        </w:p>
                        <w:p w14:paraId="6F18D213" w14:textId="77777777" w:rsidR="00611FCC" w:rsidRDefault="00000000">
                          <w:pPr>
                            <w:jc w:val="right"/>
                            <w:textDirection w:val="btLr"/>
                          </w:pPr>
                          <w:r>
                            <w:rPr>
                              <w:rFonts w:ascii="Garamond" w:eastAsia="Garamond" w:hAnsi="Garamond" w:cs="Garamond"/>
                              <w:color w:val="000000"/>
                              <w:sz w:val="22"/>
                            </w:rPr>
                            <w:t>Published on …</w:t>
                          </w:r>
                        </w:p>
                        <w:p w14:paraId="26400C1B" w14:textId="77777777" w:rsidR="00611FCC" w:rsidRDefault="00611FCC">
                          <w:pPr>
                            <w:jc w:val="right"/>
                            <w:textDirection w:val="btLr"/>
                          </w:pPr>
                        </w:p>
                      </w:txbxContent>
                    </wps:txbx>
                    <wps:bodyPr spcFirstLastPara="1" wrap="square" lIns="91425" tIns="45700" rIns="91425" bIns="45700" anchor="ctr" anchorCtr="0">
                      <a:noAutofit/>
                    </wps:bodyPr>
                  </wps:wsp>
                </a:graphicData>
              </a:graphic>
            </wp:anchor>
          </w:drawing>
        </mc:Choice>
        <mc:Fallback>
          <w:pict>
            <v:rect w14:anchorId="49C97682" id="Rectangle 4" o:spid="_x0000_s1026" style="position:absolute;margin-left:97pt;margin-top:-5pt;width:378pt;height:83.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" filled="f" stroked="f">
              <v:textbox inset="2.53958mm,1.2694mm,2.53958mm,1.2694mm">
                <w:txbxContent>
                  <w:p w14:paraId="77140C37" w14:textId="1D583FC0" w:rsidR="00611FCC" w:rsidRDefault="00000000">
                    <w:pPr>
                      <w:jc w:val="right"/>
                      <w:textDirection w:val="btLr"/>
                    </w:pPr>
                    <w:r>
                      <w:rPr>
                        <w:rFonts w:ascii="Garamond" w:eastAsia="Garamond" w:hAnsi="Garamond" w:cs="Garamond"/>
                        <w:color w:val="000000"/>
                        <w:sz w:val="22"/>
                      </w:rPr>
                      <w:t>eISSN 27</w:t>
                    </w:r>
                    <w:r w:rsidR="00CA66A4">
                      <w:rPr>
                        <w:rFonts w:ascii="Garamond" w:eastAsia="Garamond" w:hAnsi="Garamond" w:cs="Garamond"/>
                        <w:color w:val="000000"/>
                        <w:sz w:val="22"/>
                      </w:rPr>
                      <w:t>75-0000</w:t>
                    </w:r>
                  </w:p>
                  <w:p w14:paraId="57259E74" w14:textId="77777777" w:rsidR="00611FCC" w:rsidRDefault="00000000">
                    <w:pPr>
                      <w:jc w:val="right"/>
                      <w:textDirection w:val="btLr"/>
                    </w:pPr>
                    <w:r>
                      <w:rPr>
                        <w:rFonts w:ascii="Garamond" w:eastAsia="Garamond" w:hAnsi="Garamond" w:cs="Garamond"/>
                        <w:b/>
                        <w:color w:val="000000"/>
                        <w:sz w:val="22"/>
                      </w:rPr>
                      <w:t>International Conference on English Language Teaching</w:t>
                    </w:r>
                  </w:p>
                  <w:p w14:paraId="593CA760" w14:textId="77777777" w:rsidR="00611FCC" w:rsidRDefault="00000000">
                    <w:pPr>
                      <w:jc w:val="right"/>
                      <w:textDirection w:val="btLr"/>
                    </w:pPr>
                    <w:r>
                      <w:rPr>
                        <w:rFonts w:ascii="Garamond" w:eastAsia="Garamond" w:hAnsi="Garamond" w:cs="Garamond"/>
                        <w:b/>
                        <w:color w:val="000000"/>
                        <w:sz w:val="22"/>
                      </w:rPr>
                      <w:t>http://conference.unisma.ac.id/index.php/ICON/ICON-ELT</w:t>
                    </w:r>
                  </w:p>
                  <w:p w14:paraId="06EDE28C" w14:textId="4BBEB594" w:rsidR="00611FCC" w:rsidRDefault="00000000">
                    <w:pPr>
                      <w:jc w:val="right"/>
                      <w:textDirection w:val="btLr"/>
                    </w:pPr>
                    <w:r>
                      <w:rPr>
                        <w:rFonts w:ascii="Garamond" w:eastAsia="Garamond" w:hAnsi="Garamond" w:cs="Garamond"/>
                        <w:color w:val="000000"/>
                        <w:sz w:val="22"/>
                      </w:rPr>
                      <w:t xml:space="preserve">Volume </w:t>
                    </w:r>
                    <w:r w:rsidR="00353662">
                      <w:rPr>
                        <w:rFonts w:ascii="Garamond" w:eastAsia="Garamond" w:hAnsi="Garamond" w:cs="Garamond"/>
                        <w:color w:val="000000"/>
                        <w:sz w:val="22"/>
                      </w:rPr>
                      <w:t>7</w:t>
                    </w:r>
                    <w:r>
                      <w:rPr>
                        <w:rFonts w:ascii="Garamond" w:eastAsia="Garamond" w:hAnsi="Garamond" w:cs="Garamond"/>
                        <w:color w:val="000000"/>
                        <w:sz w:val="22"/>
                      </w:rPr>
                      <w:t xml:space="preserve"> | Number 1 | p… </w:t>
                    </w:r>
                  </w:p>
                  <w:p w14:paraId="6F18D213" w14:textId="77777777" w:rsidR="00611FCC" w:rsidRDefault="00000000">
                    <w:pPr>
                      <w:jc w:val="right"/>
                      <w:textDirection w:val="btLr"/>
                    </w:pPr>
                    <w:r>
                      <w:rPr>
                        <w:rFonts w:ascii="Garamond" w:eastAsia="Garamond" w:hAnsi="Garamond" w:cs="Garamond"/>
                        <w:color w:val="000000"/>
                        <w:sz w:val="22"/>
                      </w:rPr>
                      <w:t>Published on …</w:t>
                    </w:r>
                  </w:p>
                  <w:p w14:paraId="26400C1B" w14:textId="77777777" w:rsidR="00611FCC" w:rsidRDefault="00611FCC">
                    <w:pPr>
                      <w:jc w:val="right"/>
                      <w:textDirection w:val="btLr"/>
                    </w:pPr>
                  </w:p>
                </w:txbxContent>
              </v:textbox>
            </v:rect>
          </w:pict>
        </mc:Fallback>
      </mc:AlternateContent>
    </w:r>
  </w:p>
  <w:p w14:paraId="0207E106" w14:textId="77777777" w:rsidR="00611FCC" w:rsidRDefault="00611FCC">
    <w:pPr>
      <w:pBdr>
        <w:top w:val="nil"/>
        <w:left w:val="nil"/>
        <w:bottom w:val="nil"/>
        <w:right w:val="nil"/>
        <w:between w:val="nil"/>
      </w:pBdr>
      <w:tabs>
        <w:tab w:val="center" w:pos="4680"/>
        <w:tab w:val="right" w:pos="9360"/>
        <w:tab w:val="left" w:pos="84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FCC"/>
    <w:rsid w:val="001878C8"/>
    <w:rsid w:val="00353662"/>
    <w:rsid w:val="004C0068"/>
    <w:rsid w:val="00611FCC"/>
    <w:rsid w:val="00784D84"/>
    <w:rsid w:val="00CA66A4"/>
    <w:rsid w:val="00CF20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A577"/>
  <w15:docId w15:val="{EE4131CA-9FC1-4173-9D25-48247F76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77/1362168817725759" TargetMode="External"/><Relationship Id="rId13" Type="http://schemas.openxmlformats.org/officeDocument/2006/relationships/hyperlink" Target="https://doi.org/10.1177/238133691561760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s://doi.org/10.1017/S0958344019000016"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learninstruc.2018.11.009" TargetMode="External"/><Relationship Id="rId5" Type="http://schemas.openxmlformats.org/officeDocument/2006/relationships/footnotes" Target="footnotes.xml"/><Relationship Id="rId15" Type="http://schemas.openxmlformats.org/officeDocument/2006/relationships/hyperlink" Target="https://doi.org/10.1016/j.lcsi.2019.02.006" TargetMode="External"/><Relationship Id="rId23" Type="http://schemas.openxmlformats.org/officeDocument/2006/relationships/theme" Target="theme/theme1.xml"/><Relationship Id="rId10" Type="http://schemas.openxmlformats.org/officeDocument/2006/relationships/hyperlink" Target="https://doi.org/10.1080/01434632.2017.1348508"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11/modl.12557" TargetMode="External"/><Relationship Id="rId14" Type="http://schemas.openxmlformats.org/officeDocument/2006/relationships/hyperlink" Target="https://doi.org/10.1016/j.sbspro.2015.07.388"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pdE69ZP1IGXw9zgh/MlBKJOE7w==">CgMxLjA4AHIhMWdTLXc5V3pBbDVwSWczTzYxZ1o5eHlYaXZLTlo3bV9X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oke oke0904</cp:lastModifiedBy>
  <cp:revision>3</cp:revision>
  <dcterms:created xsi:type="dcterms:W3CDTF">2026-04-21T06:53:00Z</dcterms:created>
  <dcterms:modified xsi:type="dcterms:W3CDTF">2026-08-05T03:53:00Z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149a3e37-6c25-481c-8917-c26712a03d70</vt:lpwstr>
  </property>
</Properties>
</file>